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30"/>
          <w:szCs w:val="30"/>
        </w:rPr>
      </w:pPr>
      <w:r>
        <w:rPr>
          <w:rFonts w:hint="eastAsia" w:ascii="宋体" w:hAnsi="宋体" w:cs="仿宋_GB2312"/>
          <w:sz w:val="30"/>
          <w:szCs w:val="30"/>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blPrEx>
          <w:tblCellMar>
            <w:top w:w="0" w:type="dxa"/>
            <w:left w:w="108" w:type="dxa"/>
            <w:bottom w:w="0" w:type="dxa"/>
            <w:right w:w="108" w:type="dxa"/>
          </w:tblCellMar>
        </w:tblPrEx>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中山市成诺会计师事务所有限公司</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kern w:val="0"/>
                <w:sz w:val="22"/>
                <w:szCs w:val="21"/>
              </w:rPr>
            </w:pPr>
            <w:r>
              <w:rPr>
                <w:rFonts w:hint="eastAsia" w:ascii="宋体" w:hAnsi="宋体" w:cs="宋体"/>
                <w:kern w:val="0"/>
                <w:sz w:val="22"/>
                <w:szCs w:val="22"/>
              </w:rPr>
              <w:t>广东千里行律师事务所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2026.4.10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广东雅商律师事务所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广东万里海天律师事务所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5</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广东弘力律师事务所</w:t>
            </w:r>
          </w:p>
        </w:tc>
        <w:tc>
          <w:tcPr>
            <w:tcW w:w="1276" w:type="dxa"/>
            <w:tcBorders>
              <w:top w:val="nil"/>
              <w:left w:val="nil"/>
              <w:bottom w:val="single" w:color="auto" w:sz="4" w:space="0"/>
              <w:right w:val="single" w:color="auto" w:sz="4" w:space="0"/>
            </w:tcBorders>
            <w:noWrap/>
            <w:vAlign w:val="center"/>
          </w:tcPr>
          <w:p>
            <w:pPr>
              <w:widowControl/>
              <w:tabs>
                <w:tab w:val="left" w:pos="513"/>
              </w:tabs>
              <w:jc w:val="left"/>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广东正鸿律师事务所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广东中亿律师事务所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r>
        <w:tblPrEx>
          <w:tblCellMar>
            <w:top w:w="0" w:type="dxa"/>
            <w:left w:w="108" w:type="dxa"/>
            <w:bottom w:w="0" w:type="dxa"/>
            <w:right w:w="108" w:type="dxa"/>
          </w:tblCellMar>
        </w:tblPrEx>
        <w:trPr>
          <w:trHeight w:val="215"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8</w:t>
            </w:r>
          </w:p>
        </w:tc>
        <w:tc>
          <w:tcPr>
            <w:tcW w:w="4125"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广东卓正律师事务所</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c>
          <w:tcPr>
            <w:tcW w:w="1248"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r>
    </w:tbl>
    <w:p>
      <w:pPr>
        <w:rPr>
          <w:rFonts w:ascii="仿宋_GB2312" w:hAnsi="华文中宋" w:eastAsia="仿宋_GB2312"/>
          <w:sz w:val="32"/>
          <w:szCs w:val="32"/>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Calibri"/>
                <w:b/>
                <w:bCs/>
                <w:color w:val="000000"/>
                <w:kern w:val="0"/>
                <w:sz w:val="30"/>
                <w:szCs w:val="30"/>
              </w:rPr>
            </w:pPr>
            <w:r>
              <w:rPr>
                <w:rFonts w:hint="eastAsia" w:ascii="宋体" w:hAnsi="宋体" w:cs="宋体"/>
                <w:b/>
                <w:bCs/>
                <w:color w:val="000000"/>
                <w:kern w:val="0"/>
                <w:sz w:val="30"/>
                <w:szCs w:val="30"/>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w:t>
            </w:r>
            <w:r>
              <w:rPr>
                <w:rFonts w:hint="eastAsia" w:ascii="宋体" w:hAnsi="宋体" w:cs="宋体"/>
                <w:b/>
                <w:bCs/>
                <w:color w:val="000000"/>
                <w:kern w:val="0"/>
                <w:sz w:val="22"/>
                <w:szCs w:val="22"/>
              </w:rPr>
              <w:t>轮</w:t>
            </w:r>
          </w:p>
        </w:tc>
        <w:tc>
          <w:tcPr>
            <w:tcW w:w="234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第二轮</w:t>
            </w:r>
          </w:p>
        </w:tc>
      </w:tr>
      <w:tr>
        <w:tblPrEx>
          <w:tblCellMar>
            <w:top w:w="0" w:type="dxa"/>
            <w:left w:w="108" w:type="dxa"/>
            <w:bottom w:w="0" w:type="dxa"/>
            <w:right w:w="108" w:type="dxa"/>
          </w:tblCellMar>
        </w:tblPrEx>
        <w:trPr>
          <w:trHeight w:val="42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44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Calibri"/>
                <w:b/>
                <w:bCs/>
                <w:color w:val="000000"/>
                <w:kern w:val="0"/>
                <w:sz w:val="22"/>
                <w:szCs w:val="21"/>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31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法院名称</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b/>
                <w:bCs/>
                <w:color w:val="000000"/>
                <w:kern w:val="0"/>
                <w:sz w:val="22"/>
                <w:szCs w:val="21"/>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9</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广东共阳律师事务所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10</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广东中元律师事务所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lang w:eastAsia="zh-CN"/>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11</w:t>
            </w:r>
          </w:p>
        </w:tc>
        <w:tc>
          <w:tcPr>
            <w:tcW w:w="4409" w:type="dxa"/>
            <w:tcBorders>
              <w:top w:val="nil"/>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广东广中律师事务所</w:t>
            </w:r>
          </w:p>
        </w:tc>
        <w:tc>
          <w:tcPr>
            <w:tcW w:w="11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nil"/>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2026.3.2</w:t>
            </w:r>
          </w:p>
        </w:tc>
      </w:tr>
      <w:tr>
        <w:tblPrEx>
          <w:tblCellMar>
            <w:top w:w="0" w:type="dxa"/>
            <w:left w:w="108" w:type="dxa"/>
            <w:bottom w:w="0" w:type="dxa"/>
            <w:right w:w="108" w:type="dxa"/>
          </w:tblCellMar>
        </w:tblPrEx>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2026.4.3</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2026.1.29</w:t>
            </w: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16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rPr>
              <w:t>中山中院</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hAnsi="Calibri"/>
                <w:color w:val="000000"/>
                <w:kern w:val="0"/>
                <w:sz w:val="22"/>
                <w:szCs w:val="21"/>
                <w:lang w:val="en-US" w:eastAsia="zh-CN"/>
              </w:rPr>
              <w:t>2026.3.9</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2026.3.9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Calibri" w:eastAsia="宋体"/>
                <w:color w:val="000000"/>
                <w:kern w:val="0"/>
                <w:sz w:val="22"/>
                <w:szCs w:val="21"/>
                <w:lang w:eastAsia="zh-CN"/>
              </w:rPr>
            </w:pPr>
            <w:r>
              <w:rPr>
                <w:rFonts w:hint="eastAsia" w:ascii="宋体" w:hAnsi="Calibri"/>
                <w:color w:val="000000"/>
                <w:kern w:val="0"/>
                <w:sz w:val="22"/>
                <w:szCs w:val="21"/>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24</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s="宋体"/>
                <w:color w:val="000000"/>
                <w:kern w:val="0"/>
                <w:sz w:val="22"/>
                <w:szCs w:val="22"/>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2025.11.27</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s="宋体"/>
                <w:color w:val="000000"/>
                <w:kern w:val="0"/>
                <w:sz w:val="22"/>
                <w:szCs w:val="22"/>
              </w:rPr>
            </w:pPr>
            <w:r>
              <w:rPr>
                <w:rFonts w:hint="eastAsia" w:ascii="宋体" w:hAnsi="Calibri" w:cs="宋体"/>
                <w:color w:val="000000"/>
                <w:kern w:val="0"/>
                <w:sz w:val="22"/>
                <w:szCs w:val="22"/>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27</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宋体" w:cs="宋体"/>
                <w:color w:val="000000"/>
                <w:kern w:val="0"/>
                <w:sz w:val="22"/>
                <w:szCs w:val="22"/>
              </w:rPr>
              <w:t>28</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Calibri" w:eastAsia="宋体"/>
                <w:color w:val="000000"/>
                <w:kern w:val="0"/>
                <w:sz w:val="22"/>
                <w:szCs w:val="21"/>
                <w:lang w:val="en-US" w:eastAsia="zh-CN"/>
              </w:rPr>
            </w:pPr>
            <w:r>
              <w:rPr>
                <w:rFonts w:hint="eastAsia" w:ascii="宋体" w:hAnsi="Calibri"/>
                <w:color w:val="000000"/>
                <w:kern w:val="0"/>
                <w:sz w:val="22"/>
                <w:szCs w:val="21"/>
                <w:lang w:val="en-US" w:eastAsia="zh-CN"/>
              </w:rPr>
              <w:t>2025.12.12</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409" w:type="dxa"/>
            <w:tcBorders>
              <w:top w:val="single" w:color="auto" w:sz="4" w:space="0"/>
              <w:left w:val="nil"/>
              <w:bottom w:val="single" w:color="auto" w:sz="4" w:space="0"/>
              <w:right w:val="single" w:color="auto" w:sz="4" w:space="0"/>
            </w:tcBorders>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color w:val="000000"/>
                <w:kern w:val="0"/>
                <w:sz w:val="22"/>
              </w:rPr>
              <w:t>中山中院</w:t>
            </w:r>
          </w:p>
        </w:tc>
        <w:tc>
          <w:tcPr>
            <w:tcW w:w="1206" w:type="dxa"/>
            <w:tcBorders>
              <w:top w:val="single" w:color="auto" w:sz="4" w:space="0"/>
              <w:left w:val="nil"/>
              <w:bottom w:val="single" w:color="auto" w:sz="4" w:space="0"/>
              <w:right w:val="single" w:color="auto" w:sz="4" w:space="0"/>
            </w:tcBorders>
            <w:noWrap/>
            <w:vAlign w:val="center"/>
          </w:tcPr>
          <w:p>
            <w:pPr>
              <w:widowControl/>
              <w:jc w:val="center"/>
              <w:rPr>
                <w:rFonts w:ascii="宋体" w:hAnsi="Calibri"/>
                <w:color w:val="000000"/>
                <w:kern w:val="0"/>
                <w:sz w:val="22"/>
                <w:szCs w:val="21"/>
              </w:rPr>
            </w:pPr>
            <w:r>
              <w:rPr>
                <w:rFonts w:hint="eastAsia" w:ascii="宋体" w:hAnsi="Calibri"/>
                <w:color w:val="000000"/>
                <w:kern w:val="0"/>
                <w:sz w:val="22"/>
                <w:szCs w:val="21"/>
              </w:rPr>
              <w:t>2025.10.16</w:t>
            </w:r>
          </w:p>
        </w:tc>
      </w:tr>
    </w:tbl>
    <w:p>
      <w:pPr>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中山市中级人民法院摇珠选定破产案件管理人账户开户银行轮候状态表一</w:t>
            </w:r>
          </w:p>
        </w:tc>
      </w:tr>
      <w:tr>
        <w:tblPrEx>
          <w:tblCellMar>
            <w:top w:w="0" w:type="dxa"/>
            <w:left w:w="108" w:type="dxa"/>
            <w:bottom w:w="0" w:type="dxa"/>
            <w:right w:w="108" w:type="dxa"/>
          </w:tblCellMar>
        </w:tblPrEx>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7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39"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18"/>
                <w:szCs w:val="18"/>
              </w:rPr>
            </w:pPr>
            <w:r>
              <w:rPr>
                <w:rFonts w:hint="eastAsia" w:ascii="宋体" w:hAnsi="宋体" w:cs="宋体"/>
                <w:b/>
                <w:bCs/>
                <w:color w:val="000000"/>
                <w:kern w:val="0"/>
                <w:sz w:val="18"/>
                <w:szCs w:val="18"/>
              </w:rPr>
              <w:t>一级管理人承办案件</w:t>
            </w:r>
          </w:p>
        </w:tc>
        <w:tc>
          <w:tcPr>
            <w:tcW w:w="1234"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30"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一级管理人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30"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2025.1.9</w:t>
            </w: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bookmarkStart w:id="0" w:name="_GoBack"/>
            <w:bookmarkEnd w:id="0"/>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7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39"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23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23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2025.2.7</w:t>
            </w: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30"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中山市中级人民法院摇珠选定破产案件管理人账户开户银行轮候状态表二</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第九轮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二级管理人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2025.1.20</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2026.4.10</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2024.7.26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2024.11.6</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2025.8.1</w:t>
            </w:r>
          </w:p>
        </w:tc>
        <w:tc>
          <w:tcPr>
            <w:tcW w:w="1314"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ascii="宋体"/>
                <w:color w:val="000000"/>
                <w:kern w:val="0"/>
                <w:sz w:val="22"/>
              </w:rPr>
            </w:pP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b/>
                <w:bCs/>
                <w:color w:val="000000"/>
                <w:kern w:val="0"/>
                <w:sz w:val="30"/>
                <w:szCs w:val="30"/>
              </w:rPr>
            </w:pPr>
            <w:r>
              <w:rPr>
                <w:rFonts w:hint="eastAsia" w:ascii="仿宋_GB2312" w:hAnsi="华文中宋" w:eastAsia="仿宋_GB2312" w:cs="仿宋_GB2312"/>
                <w:sz w:val="30"/>
                <w:szCs w:val="30"/>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第三十</w:t>
            </w:r>
            <w:r>
              <w:rPr>
                <w:rFonts w:hint="eastAsia" w:ascii="宋体" w:hAnsi="宋体" w:cs="宋体"/>
                <w:b/>
                <w:bCs/>
                <w:color w:val="000000"/>
                <w:kern w:val="0"/>
                <w:sz w:val="22"/>
                <w:szCs w:val="22"/>
                <w:lang w:eastAsia="zh-CN"/>
              </w:rPr>
              <w:t>二</w:t>
            </w:r>
            <w:r>
              <w:rPr>
                <w:rFonts w:hint="eastAsia" w:ascii="宋体" w:hAnsi="宋体" w:cs="宋体"/>
                <w:b/>
                <w:bCs/>
                <w:color w:val="000000"/>
                <w:kern w:val="0"/>
                <w:sz w:val="22"/>
                <w:szCs w:val="22"/>
              </w:rPr>
              <w:t>轮</w:t>
            </w:r>
          </w:p>
        </w:tc>
        <w:tc>
          <w:tcPr>
            <w:tcW w:w="2630" w:type="dxa"/>
            <w:gridSpan w:val="2"/>
            <w:tcBorders>
              <w:top w:val="single" w:color="auto" w:sz="4" w:space="0"/>
              <w:left w:val="nil"/>
              <w:bottom w:val="single" w:color="auto" w:sz="4" w:space="0"/>
              <w:right w:val="single" w:color="000000"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第</w:t>
            </w:r>
            <w:r>
              <w:rPr>
                <w:rFonts w:hint="eastAsia" w:ascii="宋体" w:hAnsi="宋体" w:cs="宋体"/>
                <w:b/>
                <w:bCs/>
                <w:color w:val="000000"/>
                <w:kern w:val="0"/>
                <w:sz w:val="22"/>
                <w:szCs w:val="22"/>
                <w:lang w:eastAsia="zh-CN"/>
              </w:rPr>
              <w:t>三十三</w:t>
            </w:r>
            <w:r>
              <w:rPr>
                <w:rFonts w:hint="eastAsia" w:ascii="宋体" w:hAnsi="宋体" w:cs="宋体"/>
                <w:b/>
                <w:bCs/>
                <w:color w:val="000000"/>
                <w:kern w:val="0"/>
                <w:sz w:val="22"/>
                <w:szCs w:val="22"/>
              </w:rPr>
              <w:t>轮</w:t>
            </w:r>
          </w:p>
        </w:tc>
      </w:tr>
      <w:tr>
        <w:tblPrEx>
          <w:tblCellMar>
            <w:top w:w="0" w:type="dxa"/>
            <w:left w:w="108" w:type="dxa"/>
            <w:bottom w:w="0" w:type="dxa"/>
            <w:right w:w="108" w:type="dxa"/>
          </w:tblCellMar>
        </w:tblPrEx>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4125"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b/>
                <w:bCs/>
                <w:color w:val="000000"/>
                <w:kern w:val="0"/>
                <w:sz w:val="22"/>
              </w:rPr>
            </w:pPr>
          </w:p>
        </w:tc>
        <w:tc>
          <w:tcPr>
            <w:tcW w:w="1125"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c>
          <w:tcPr>
            <w:tcW w:w="1314" w:type="dxa"/>
            <w:tcBorders>
              <w:top w:val="nil"/>
              <w:left w:val="nil"/>
              <w:bottom w:val="single" w:color="auto" w:sz="4" w:space="0"/>
              <w:right w:val="single" w:color="auto" w:sz="4" w:space="0"/>
            </w:tcBorders>
            <w:noWrap/>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三级管理人</w:t>
            </w:r>
          </w:p>
          <w:p>
            <w:pPr>
              <w:widowControl/>
              <w:jc w:val="center"/>
              <w:rPr>
                <w:rFonts w:ascii="宋体"/>
                <w:b/>
                <w:bCs/>
                <w:color w:val="000000"/>
                <w:kern w:val="0"/>
                <w:sz w:val="22"/>
              </w:rPr>
            </w:pPr>
            <w:r>
              <w:rPr>
                <w:rFonts w:hint="eastAsia" w:ascii="宋体" w:hAnsi="宋体" w:cs="宋体"/>
                <w:b/>
                <w:bCs/>
                <w:color w:val="000000"/>
                <w:kern w:val="0"/>
                <w:sz w:val="18"/>
                <w:szCs w:val="18"/>
              </w:rPr>
              <w:t>承办案件</w:t>
            </w:r>
          </w:p>
        </w:tc>
        <w:tc>
          <w:tcPr>
            <w:tcW w:w="1316" w:type="dxa"/>
            <w:tcBorders>
              <w:top w:val="nil"/>
              <w:left w:val="nil"/>
              <w:bottom w:val="single" w:color="auto" w:sz="4" w:space="0"/>
              <w:right w:val="single" w:color="auto" w:sz="4" w:space="0"/>
            </w:tcBorders>
            <w:noWrap/>
            <w:vAlign w:val="center"/>
          </w:tcPr>
          <w:p>
            <w:pPr>
              <w:widowControl/>
              <w:jc w:val="center"/>
              <w:rPr>
                <w:rFonts w:ascii="宋体"/>
                <w:b/>
                <w:bCs/>
                <w:color w:val="000000"/>
                <w:kern w:val="0"/>
                <w:sz w:val="22"/>
              </w:rPr>
            </w:pPr>
            <w:r>
              <w:rPr>
                <w:rFonts w:hint="eastAsia" w:ascii="宋体" w:hAnsi="宋体" w:cs="宋体"/>
                <w:b/>
                <w:bCs/>
                <w:color w:val="000000"/>
                <w:kern w:val="0"/>
                <w:sz w:val="22"/>
                <w:szCs w:val="22"/>
              </w:rPr>
              <w:t>摇中日期</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1</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中山农村商业银行股份有限公司</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2</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中国建设银行股份有限公司中山市分行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2026.1.29</w:t>
            </w:r>
          </w:p>
        </w:tc>
        <w:tc>
          <w:tcPr>
            <w:tcW w:w="1314" w:type="dxa"/>
            <w:tcBorders>
              <w:top w:val="nil"/>
              <w:left w:val="nil"/>
              <w:bottom w:val="single" w:color="auto" w:sz="4" w:space="0"/>
              <w:right w:val="single" w:color="auto" w:sz="4" w:space="0"/>
            </w:tcBorders>
            <w:noWrap/>
          </w:tcPr>
          <w:p>
            <w:pPr>
              <w:jc w:val="center"/>
            </w:pP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3</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中国农业银行股份有限公司中山分行</w:t>
            </w:r>
          </w:p>
        </w:tc>
        <w:tc>
          <w:tcPr>
            <w:tcW w:w="1125"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2026.3.2</w:t>
            </w:r>
          </w:p>
        </w:tc>
        <w:tc>
          <w:tcPr>
            <w:tcW w:w="1314" w:type="dxa"/>
            <w:tcBorders>
              <w:top w:val="nil"/>
              <w:left w:val="nil"/>
              <w:bottom w:val="single" w:color="auto" w:sz="4" w:space="0"/>
              <w:right w:val="single" w:color="auto" w:sz="4" w:space="0"/>
            </w:tcBorders>
            <w:noWrap/>
          </w:tcPr>
          <w:p>
            <w:pPr>
              <w:jc w:val="cente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2026.4.3</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widowControl/>
              <w:jc w:val="center"/>
              <w:rPr>
                <w:rFonts w:ascii="宋体"/>
                <w:color w:val="000000"/>
                <w:kern w:val="0"/>
                <w:sz w:val="22"/>
              </w:rPr>
            </w:pPr>
            <w:r>
              <w:rPr>
                <w:rFonts w:ascii="宋体" w:hAnsi="宋体" w:cs="宋体"/>
                <w:color w:val="000000"/>
                <w:kern w:val="0"/>
                <w:sz w:val="22"/>
                <w:szCs w:val="22"/>
              </w:rPr>
              <w:t>4</w:t>
            </w:r>
          </w:p>
        </w:tc>
        <w:tc>
          <w:tcPr>
            <w:tcW w:w="4125" w:type="dxa"/>
            <w:tcBorders>
              <w:top w:val="nil"/>
              <w:left w:val="nil"/>
              <w:bottom w:val="single" w:color="auto" w:sz="4" w:space="0"/>
              <w:right w:val="single" w:color="auto" w:sz="4" w:space="0"/>
            </w:tcBorders>
            <w:vAlign w:val="center"/>
          </w:tcPr>
          <w:p>
            <w:pPr>
              <w:widowControl/>
              <w:jc w:val="center"/>
              <w:rPr>
                <w:rFonts w:ascii="宋体"/>
                <w:color w:val="000000"/>
                <w:kern w:val="0"/>
                <w:sz w:val="22"/>
              </w:rPr>
            </w:pPr>
            <w:r>
              <w:rPr>
                <w:rFonts w:hint="eastAsia" w:ascii="宋体" w:hAnsi="宋体" w:cs="宋体"/>
                <w:color w:val="000000"/>
                <w:kern w:val="0"/>
                <w:sz w:val="22"/>
                <w:szCs w:val="22"/>
              </w:rPr>
              <w:t>中国银行股份有限公司中山分行</w:t>
            </w:r>
          </w:p>
        </w:tc>
        <w:tc>
          <w:tcPr>
            <w:tcW w:w="1125" w:type="dxa"/>
            <w:tcBorders>
              <w:top w:val="nil"/>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nil"/>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2026.1.23</w:t>
            </w:r>
          </w:p>
        </w:tc>
        <w:tc>
          <w:tcPr>
            <w:tcW w:w="1314" w:type="dxa"/>
            <w:tcBorders>
              <w:top w:val="nil"/>
              <w:left w:val="nil"/>
              <w:bottom w:val="single" w:color="auto" w:sz="4" w:space="0"/>
              <w:right w:val="single" w:color="auto" w:sz="4" w:space="0"/>
            </w:tcBorders>
            <w:noWrap/>
          </w:tcPr>
          <w:p>
            <w:pPr>
              <w:jc w:val="center"/>
              <w:rPr>
                <w:highlight w:val="yellow"/>
              </w:rPr>
            </w:pPr>
          </w:p>
        </w:tc>
        <w:tc>
          <w:tcPr>
            <w:tcW w:w="1316" w:type="dxa"/>
            <w:tcBorders>
              <w:top w:val="nil"/>
              <w:left w:val="nil"/>
              <w:bottom w:val="single" w:color="auto" w:sz="4" w:space="0"/>
              <w:right w:val="single" w:color="auto" w:sz="4" w:space="0"/>
            </w:tcBorders>
            <w:noWrap/>
            <w:vAlign w:val="center"/>
          </w:tcPr>
          <w:p>
            <w:pPr>
              <w:widowControl/>
              <w:jc w:val="center"/>
              <w:rPr>
                <w:rFonts w:ascii="宋体"/>
                <w:color w:val="000000"/>
                <w:kern w:val="0"/>
                <w:sz w:val="22"/>
              </w:rPr>
            </w:pPr>
          </w:p>
        </w:tc>
      </w:tr>
      <w:tr>
        <w:tblPrEx>
          <w:tblCellMar>
            <w:top w:w="0" w:type="dxa"/>
            <w:left w:w="108" w:type="dxa"/>
            <w:bottom w:w="0" w:type="dxa"/>
            <w:right w:w="108" w:type="dxa"/>
          </w:tblCellMar>
        </w:tblPrEx>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2026.1.9</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2026.3.9</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2E7BAA5C"/>
    <w:rsid w:val="3F76D5C3"/>
    <w:rsid w:val="688252E1"/>
    <w:rsid w:val="6FCD400D"/>
    <w:rsid w:val="728834E4"/>
    <w:rsid w:val="7DEF1B79"/>
    <w:rsid w:val="7DFF47FA"/>
    <w:rsid w:val="7EF9A5D5"/>
    <w:rsid w:val="7F7E414D"/>
    <w:rsid w:val="7FFB2CBF"/>
    <w:rsid w:val="9FDFD8F2"/>
    <w:rsid w:val="CFB99AEE"/>
    <w:rsid w:val="DFEFCA28"/>
    <w:rsid w:val="E7DE735C"/>
    <w:rsid w:val="EBFBCE78"/>
    <w:rsid w:val="F3FF1267"/>
    <w:rsid w:val="FF7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2025-10-01T06:50:00Z</dcterms:created>
  <dc:creator>Administrator</dc:creator>
  <cp:lastModifiedBy>user</cp:lastModifiedBy>
  <cp:lastPrinted>2026-04-03T19:14:00Z</cp:lastPrinted>
  <dcterms:modified xsi:type="dcterms:W3CDTF">2026-04-10T15:24:11Z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2E742DAA77A8389CC1E3CD6913AB1CCC</vt:lpwstr>
  </property>
</Properties>
</file>